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6673" w14:textId="77777777" w:rsidR="00FB6FE0" w:rsidRDefault="00FB6FE0" w:rsidP="00FB6FE0">
      <w:pPr>
        <w:rPr>
          <w:rFonts w:ascii="ITC Galliard Std" w:hAnsi="ITC Galliard Std"/>
        </w:rPr>
      </w:pPr>
    </w:p>
    <w:p w14:paraId="0A884D35" w14:textId="77777777" w:rsidR="00FB6FE0" w:rsidRDefault="00FB6FE0" w:rsidP="00FB6FE0">
      <w:pPr>
        <w:pStyle w:val="Titre1"/>
        <w:rPr>
          <w:rFonts w:ascii="ITC Galliard Std" w:hAnsi="ITC Galliard Std"/>
        </w:rPr>
      </w:pPr>
    </w:p>
    <w:p w14:paraId="2A068E72" w14:textId="77777777" w:rsidR="00FB6FE0" w:rsidRDefault="00FB6FE0" w:rsidP="00FB6FE0">
      <w:pPr>
        <w:pStyle w:val="Titre1"/>
        <w:rPr>
          <w:rFonts w:ascii="ITC Galliard Std" w:hAnsi="ITC Galliard Std"/>
        </w:rPr>
      </w:pPr>
    </w:p>
    <w:p w14:paraId="58937AFD" w14:textId="77777777" w:rsidR="00FB6FE0" w:rsidRPr="00A63466" w:rsidRDefault="00FB6FE0" w:rsidP="00FB6FE0"/>
    <w:p w14:paraId="2CE21201" w14:textId="77777777" w:rsidR="00FB6FE0" w:rsidRPr="00AC2E3C" w:rsidRDefault="00FB6FE0" w:rsidP="00FB6FE0">
      <w:pPr>
        <w:pStyle w:val="Titre1"/>
        <w:rPr>
          <w:rFonts w:ascii="ITC Galliard Std" w:hAnsi="ITC Galliard Std"/>
          <w:b w:val="0"/>
          <w:bCs w:val="0"/>
          <w:color w:val="C00000"/>
        </w:rPr>
      </w:pPr>
      <w:r>
        <w:rPr>
          <w:rFonts w:ascii="ITC Galliard Std" w:hAnsi="ITC Galliard Std"/>
          <w:b w:val="0"/>
          <w:bCs w:val="0"/>
          <w:color w:val="C00000"/>
        </w:rPr>
        <w:t>Rapport de jury</w:t>
      </w:r>
    </w:p>
    <w:p w14:paraId="77D97EE3" w14:textId="0D4CEA28" w:rsidR="00FB6FE0" w:rsidRPr="00AC2E3C" w:rsidRDefault="00FB6FE0" w:rsidP="00FB6FE0">
      <w:pPr>
        <w:jc w:val="center"/>
        <w:rPr>
          <w:rFonts w:ascii="ITC Galliard Std" w:hAnsi="ITC Galliard Std"/>
          <w:color w:val="C00000"/>
          <w:sz w:val="28"/>
          <w:szCs w:val="28"/>
        </w:rPr>
      </w:pPr>
      <w:r w:rsidRPr="00AC2E3C">
        <w:rPr>
          <w:rFonts w:ascii="ITC Galliard Std" w:hAnsi="ITC Galliard Std"/>
          <w:color w:val="C00000"/>
          <w:sz w:val="28"/>
          <w:szCs w:val="28"/>
        </w:rPr>
        <w:t xml:space="preserve">Bourse </w:t>
      </w:r>
      <w:proofErr w:type="spellStart"/>
      <w:r w:rsidRPr="00AC2E3C">
        <w:rPr>
          <w:rFonts w:ascii="ITC Galliard Std" w:hAnsi="ITC Galliard Std"/>
          <w:color w:val="C00000"/>
          <w:sz w:val="28"/>
          <w:szCs w:val="28"/>
        </w:rPr>
        <w:t>Yavarhoussen</w:t>
      </w:r>
      <w:proofErr w:type="spellEnd"/>
      <w:r w:rsidRPr="00AC2E3C">
        <w:rPr>
          <w:rFonts w:ascii="ITC Galliard Std" w:hAnsi="ITC Galliard Std"/>
          <w:color w:val="C00000"/>
          <w:sz w:val="28"/>
          <w:szCs w:val="28"/>
        </w:rPr>
        <w:t xml:space="preserve"> 202</w:t>
      </w:r>
      <w:r>
        <w:rPr>
          <w:rFonts w:ascii="ITC Galliard Std" w:hAnsi="ITC Galliard Std"/>
          <w:color w:val="C00000"/>
          <w:sz w:val="28"/>
          <w:szCs w:val="28"/>
        </w:rPr>
        <w:t>5</w:t>
      </w:r>
    </w:p>
    <w:p w14:paraId="6DE5B217" w14:textId="77777777" w:rsidR="00FB6FE0" w:rsidRDefault="00FB6FE0" w:rsidP="00FB6FE0">
      <w:pPr>
        <w:rPr>
          <w:rFonts w:ascii="ITC Galliard Std" w:hAnsi="ITC Galliard Std"/>
          <w:b/>
          <w:bCs/>
          <w:sz w:val="18"/>
          <w:szCs w:val="18"/>
          <w:u w:val="single"/>
        </w:rPr>
      </w:pPr>
    </w:p>
    <w:p w14:paraId="1FEDFE4A" w14:textId="77777777" w:rsidR="00FB6FE0" w:rsidRDefault="00FB6FE0" w:rsidP="00FB6FE0">
      <w:pPr>
        <w:jc w:val="both"/>
        <w:rPr>
          <w:rFonts w:ascii="ITC Galliard Std" w:hAnsi="ITC Galliard Std"/>
          <w:sz w:val="22"/>
          <w:szCs w:val="22"/>
        </w:rPr>
      </w:pPr>
    </w:p>
    <w:p w14:paraId="08411FF3" w14:textId="77777777" w:rsidR="00FB6FE0" w:rsidRDefault="00FB6FE0" w:rsidP="00FB6FE0">
      <w:pPr>
        <w:jc w:val="both"/>
        <w:rPr>
          <w:rFonts w:ascii="ITC Galliard Std" w:hAnsi="ITC Galliard Std"/>
          <w:sz w:val="22"/>
          <w:szCs w:val="22"/>
        </w:rPr>
      </w:pPr>
    </w:p>
    <w:p w14:paraId="45735032" w14:textId="694BBC04" w:rsidR="00FB6FE0" w:rsidRDefault="00FB6FE0" w:rsidP="00FB6FE0">
      <w:pPr>
        <w:keepNext/>
        <w:tabs>
          <w:tab w:val="num" w:pos="432"/>
        </w:tabs>
        <w:suppressAutoHyphens/>
        <w:ind w:right="-284"/>
        <w:outlineLvl w:val="0"/>
        <w:rPr>
          <w:rFonts w:ascii="ITC Galliard Std" w:hAnsi="ITC Galliard Std" w:cs="ITC Galliard Std"/>
          <w:bCs/>
          <w:sz w:val="22"/>
          <w:szCs w:val="22"/>
          <w:lang w:eastAsia="ar-SA"/>
        </w:rPr>
      </w:pPr>
      <w:r>
        <w:rPr>
          <w:rFonts w:ascii="ITC Galliard Std" w:hAnsi="ITC Galliard Std" w:cs="ITC Galliard Std"/>
          <w:bCs/>
          <w:sz w:val="22"/>
          <w:szCs w:val="22"/>
          <w:lang w:eastAsia="ar-SA"/>
        </w:rPr>
        <w:t xml:space="preserve">Le mercredi 2 juillet 2025 à 16h, le jury suivant s’est réuni pour l’attribution de la bourse </w:t>
      </w:r>
      <w:proofErr w:type="spellStart"/>
      <w:r>
        <w:rPr>
          <w:rFonts w:ascii="ITC Galliard Std" w:hAnsi="ITC Galliard Std" w:cs="ITC Galliard Std"/>
          <w:bCs/>
          <w:sz w:val="22"/>
          <w:szCs w:val="22"/>
          <w:lang w:eastAsia="ar-SA"/>
        </w:rPr>
        <w:t>Yavarhoussen</w:t>
      </w:r>
      <w:proofErr w:type="spellEnd"/>
      <w:r>
        <w:rPr>
          <w:rFonts w:ascii="ITC Galliard Std" w:hAnsi="ITC Galliard Std" w:cs="ITC Galliard Std"/>
          <w:bCs/>
          <w:sz w:val="22"/>
          <w:szCs w:val="22"/>
          <w:lang w:eastAsia="ar-SA"/>
        </w:rPr>
        <w:t xml:space="preserve"> : </w:t>
      </w:r>
    </w:p>
    <w:p w14:paraId="73D85A5D" w14:textId="77777777" w:rsidR="00FB6FE0" w:rsidRDefault="00FB6FE0" w:rsidP="00FB6FE0">
      <w:pPr>
        <w:keepNext/>
        <w:tabs>
          <w:tab w:val="num" w:pos="432"/>
        </w:tabs>
        <w:suppressAutoHyphens/>
        <w:ind w:right="-284"/>
        <w:outlineLvl w:val="0"/>
        <w:rPr>
          <w:rFonts w:ascii="ITC Galliard Std" w:hAnsi="ITC Galliard Std"/>
          <w:sz w:val="22"/>
          <w:szCs w:val="22"/>
        </w:rPr>
      </w:pPr>
    </w:p>
    <w:p w14:paraId="026974A5" w14:textId="77777777" w:rsidR="00FB6FE0" w:rsidRDefault="00FB6FE0" w:rsidP="00FB6FE0">
      <w:pPr>
        <w:numPr>
          <w:ilvl w:val="0"/>
          <w:numId w:val="1"/>
        </w:numPr>
        <w:spacing w:line="360" w:lineRule="auto"/>
        <w:rPr>
          <w:rFonts w:ascii="ITC Galliard Std" w:hAnsi="ITC Galliard Std"/>
          <w:sz w:val="22"/>
          <w:szCs w:val="22"/>
        </w:rPr>
      </w:pPr>
      <w:r>
        <w:rPr>
          <w:rFonts w:ascii="ITC Galliard Std" w:hAnsi="ITC Galliard Std"/>
          <w:sz w:val="22"/>
          <w:szCs w:val="22"/>
        </w:rPr>
        <w:t xml:space="preserve">M. </w:t>
      </w:r>
      <w:proofErr w:type="spellStart"/>
      <w:r>
        <w:rPr>
          <w:rFonts w:ascii="ITC Galliard Std" w:hAnsi="ITC Galliard Std"/>
          <w:sz w:val="22"/>
          <w:szCs w:val="22"/>
        </w:rPr>
        <w:t>Hasnaine</w:t>
      </w:r>
      <w:proofErr w:type="spellEnd"/>
      <w:r>
        <w:rPr>
          <w:rFonts w:ascii="ITC Galliard Std" w:hAnsi="ITC Galliard Std"/>
          <w:sz w:val="22"/>
          <w:szCs w:val="22"/>
        </w:rPr>
        <w:t xml:space="preserve"> YAVARHOUSSEN, président du Fonds </w:t>
      </w:r>
      <w:proofErr w:type="spellStart"/>
      <w:r>
        <w:rPr>
          <w:rFonts w:ascii="ITC Galliard Std" w:hAnsi="ITC Galliard Std"/>
          <w:sz w:val="22"/>
          <w:szCs w:val="22"/>
        </w:rPr>
        <w:t>Yavarhoussen</w:t>
      </w:r>
      <w:proofErr w:type="spellEnd"/>
    </w:p>
    <w:p w14:paraId="22AC8B46" w14:textId="77777777" w:rsidR="00FB6FE0" w:rsidRDefault="00FB6FE0" w:rsidP="00FB6FE0">
      <w:pPr>
        <w:numPr>
          <w:ilvl w:val="0"/>
          <w:numId w:val="1"/>
        </w:numPr>
        <w:spacing w:line="360" w:lineRule="auto"/>
        <w:rPr>
          <w:rFonts w:ascii="ITC Galliard Std" w:hAnsi="ITC Galliard Std"/>
          <w:sz w:val="22"/>
          <w:szCs w:val="22"/>
        </w:rPr>
      </w:pPr>
      <w:r>
        <w:rPr>
          <w:rFonts w:ascii="ITC Galliard Std" w:hAnsi="ITC Galliard Std"/>
          <w:sz w:val="22"/>
          <w:szCs w:val="22"/>
        </w:rPr>
        <w:t>Mme Marion BOUDON-MACHUEL, directrice du Département des études et de la recherche, INHA</w:t>
      </w:r>
    </w:p>
    <w:p w14:paraId="5067D226" w14:textId="77777777" w:rsidR="00FB6FE0" w:rsidRPr="001747C1" w:rsidRDefault="00FB6FE0" w:rsidP="00FB6FE0">
      <w:pPr>
        <w:numPr>
          <w:ilvl w:val="0"/>
          <w:numId w:val="1"/>
        </w:numPr>
        <w:spacing w:line="360" w:lineRule="auto"/>
        <w:rPr>
          <w:rFonts w:ascii="ITC Galliard Std" w:hAnsi="ITC Galliard Std"/>
          <w:sz w:val="22"/>
          <w:szCs w:val="22"/>
        </w:rPr>
      </w:pPr>
      <w:r w:rsidRPr="001747C1">
        <w:rPr>
          <w:rFonts w:ascii="ITC Galliard Std" w:hAnsi="ITC Galliard Std"/>
          <w:sz w:val="22"/>
          <w:szCs w:val="22"/>
        </w:rPr>
        <w:t>Mme Bako R</w:t>
      </w:r>
      <w:r>
        <w:rPr>
          <w:rFonts w:ascii="ITC Galliard Std" w:hAnsi="ITC Galliard Std"/>
          <w:sz w:val="22"/>
          <w:szCs w:val="22"/>
        </w:rPr>
        <w:t xml:space="preserve">ASOARIFETRA, </w:t>
      </w:r>
      <w:proofErr w:type="spellStart"/>
      <w:r w:rsidRPr="001747C1">
        <w:rPr>
          <w:rFonts w:ascii="ITC Galliard Std" w:hAnsi="ITC Galliard Std"/>
          <w:sz w:val="22"/>
          <w:szCs w:val="22"/>
        </w:rPr>
        <w:t>Icmaa</w:t>
      </w:r>
      <w:proofErr w:type="spellEnd"/>
      <w:r>
        <w:rPr>
          <w:rFonts w:ascii="ITC Galliard Std" w:hAnsi="ITC Galliard Std"/>
          <w:sz w:val="22"/>
          <w:szCs w:val="22"/>
        </w:rPr>
        <w:t>,</w:t>
      </w:r>
      <w:r w:rsidRPr="001747C1">
        <w:rPr>
          <w:rFonts w:ascii="ITC Galliard Std" w:hAnsi="ITC Galliard Std"/>
          <w:sz w:val="22"/>
          <w:szCs w:val="22"/>
        </w:rPr>
        <w:t xml:space="preserve"> Université d'Antananarivo</w:t>
      </w:r>
    </w:p>
    <w:p w14:paraId="39F5E4DB" w14:textId="77777777" w:rsidR="00FB6FE0" w:rsidRDefault="00FB6FE0" w:rsidP="00FB6FE0">
      <w:pPr>
        <w:numPr>
          <w:ilvl w:val="0"/>
          <w:numId w:val="1"/>
        </w:numPr>
        <w:spacing w:line="360" w:lineRule="auto"/>
        <w:rPr>
          <w:rFonts w:ascii="ITC Galliard Std" w:hAnsi="ITC Galliard Std"/>
          <w:sz w:val="22"/>
          <w:szCs w:val="22"/>
        </w:rPr>
      </w:pPr>
      <w:r>
        <w:rPr>
          <w:rFonts w:ascii="ITC Galliard Std" w:hAnsi="ITC Galliard Std"/>
          <w:sz w:val="22"/>
          <w:szCs w:val="22"/>
        </w:rPr>
        <w:t>Mme Pauline MONGINOT, MCF en histoire de l’art non-européen, Université Rennes 2</w:t>
      </w:r>
    </w:p>
    <w:p w14:paraId="2959725D" w14:textId="77777777" w:rsidR="00FB6FE0" w:rsidRPr="001747C1" w:rsidRDefault="00FB6FE0" w:rsidP="00FB6FE0">
      <w:pPr>
        <w:numPr>
          <w:ilvl w:val="0"/>
          <w:numId w:val="1"/>
        </w:numPr>
        <w:spacing w:line="360" w:lineRule="auto"/>
        <w:rPr>
          <w:rFonts w:ascii="ITC Galliard Std" w:hAnsi="ITC Galliard Std"/>
          <w:sz w:val="22"/>
          <w:szCs w:val="22"/>
        </w:rPr>
      </w:pPr>
      <w:r w:rsidRPr="001747C1">
        <w:rPr>
          <w:rFonts w:ascii="ITC Galliard Std" w:hAnsi="ITC Galliard Std"/>
          <w:sz w:val="22"/>
          <w:szCs w:val="22"/>
        </w:rPr>
        <w:t>M.</w:t>
      </w:r>
      <w:r>
        <w:rPr>
          <w:rFonts w:ascii="ITC Galliard Std" w:hAnsi="ITC Galliard Std"/>
          <w:sz w:val="22"/>
          <w:szCs w:val="22"/>
        </w:rPr>
        <w:t xml:space="preserve"> </w:t>
      </w:r>
      <w:r w:rsidRPr="001747C1">
        <w:rPr>
          <w:rFonts w:ascii="ITC Galliard Std" w:hAnsi="ITC Galliard Std"/>
          <w:sz w:val="22"/>
          <w:szCs w:val="22"/>
        </w:rPr>
        <w:t xml:space="preserve">Alexandre </w:t>
      </w:r>
      <w:r>
        <w:rPr>
          <w:rFonts w:ascii="ITC Galliard Std" w:hAnsi="ITC Galliard Std"/>
          <w:sz w:val="22"/>
          <w:szCs w:val="22"/>
        </w:rPr>
        <w:t>GIRARD-MUSCAGORRY</w:t>
      </w:r>
      <w:r w:rsidRPr="001747C1">
        <w:rPr>
          <w:rFonts w:ascii="ITC Galliard Std" w:hAnsi="ITC Galliard Std"/>
          <w:sz w:val="22"/>
          <w:szCs w:val="22"/>
        </w:rPr>
        <w:t>, Conservateur du patrimoine, Musée de la musique – Philharmonie de Paris</w:t>
      </w:r>
    </w:p>
    <w:p w14:paraId="243A643C" w14:textId="77777777" w:rsidR="00FB6FE0" w:rsidRDefault="00FB6FE0" w:rsidP="00FB6FE0">
      <w:pPr>
        <w:keepNext/>
        <w:tabs>
          <w:tab w:val="num" w:pos="432"/>
        </w:tabs>
        <w:suppressAutoHyphens/>
        <w:ind w:right="-284"/>
        <w:outlineLvl w:val="0"/>
        <w:rPr>
          <w:rFonts w:ascii="ITC Galliard Std" w:hAnsi="ITC Galliard Std" w:cs="ITC Galliard Std"/>
          <w:bCs/>
          <w:sz w:val="22"/>
          <w:szCs w:val="22"/>
          <w:lang w:eastAsia="ar-SA"/>
        </w:rPr>
      </w:pPr>
    </w:p>
    <w:p w14:paraId="647473BC" w14:textId="09F9B6C9" w:rsidR="00D70640" w:rsidRDefault="00FB6FE0" w:rsidP="00FB6FE0">
      <w:pPr>
        <w:spacing w:line="360" w:lineRule="auto"/>
        <w:jc w:val="both"/>
        <w:rPr>
          <w:rFonts w:ascii="ITC Galliard Std" w:hAnsi="ITC Galliard Std"/>
          <w:sz w:val="22"/>
          <w:szCs w:val="22"/>
          <w:highlight w:val="yellow"/>
        </w:rPr>
      </w:pPr>
      <w:r>
        <w:rPr>
          <w:rFonts w:ascii="ITC Galliard Std" w:hAnsi="ITC Galliard Std"/>
          <w:sz w:val="22"/>
          <w:szCs w:val="22"/>
        </w:rPr>
        <w:t xml:space="preserve">L’appel à candidatures </w:t>
      </w:r>
      <w:r w:rsidR="00C72632">
        <w:rPr>
          <w:rFonts w:ascii="ITC Galliard Std" w:hAnsi="ITC Galliard Std"/>
          <w:sz w:val="22"/>
          <w:szCs w:val="22"/>
        </w:rPr>
        <w:t>a été</w:t>
      </w:r>
      <w:r>
        <w:rPr>
          <w:rFonts w:ascii="ITC Galliard Std" w:hAnsi="ITC Galliard Std"/>
          <w:sz w:val="22"/>
          <w:szCs w:val="22"/>
        </w:rPr>
        <w:t xml:space="preserve"> ouvert du 9 avril au 15 juin 2025. </w:t>
      </w:r>
      <w:r w:rsidR="00D70640" w:rsidRPr="00D70640">
        <w:rPr>
          <w:rFonts w:ascii="ITC Galliard Std" w:hAnsi="ITC Galliard Std"/>
          <w:sz w:val="22"/>
          <w:szCs w:val="22"/>
        </w:rPr>
        <w:t>Cette année, douze dossiers ont été déposés contre s</w:t>
      </w:r>
      <w:r w:rsidRPr="00D70640">
        <w:rPr>
          <w:rFonts w:ascii="ITC Galliard Std" w:hAnsi="ITC Galliard Std"/>
          <w:sz w:val="22"/>
          <w:szCs w:val="22"/>
        </w:rPr>
        <w:t>ept dossiers</w:t>
      </w:r>
      <w:r w:rsidR="00D70640" w:rsidRPr="00D70640">
        <w:rPr>
          <w:rFonts w:ascii="ITC Galliard Std" w:hAnsi="ITC Galliard Std"/>
          <w:sz w:val="22"/>
          <w:szCs w:val="22"/>
        </w:rPr>
        <w:t xml:space="preserve"> en 2024</w:t>
      </w:r>
      <w:r w:rsidRPr="00D70640">
        <w:rPr>
          <w:rFonts w:ascii="ITC Galliard Std" w:hAnsi="ITC Galliard Std"/>
          <w:sz w:val="22"/>
          <w:szCs w:val="22"/>
        </w:rPr>
        <w:t xml:space="preserve">. Chacun des dossiers a été examiné avec attention par les membres du jury et discuté lors des délibérations. </w:t>
      </w:r>
    </w:p>
    <w:p w14:paraId="6F24147C" w14:textId="50CEF838" w:rsidR="00FB6FE0" w:rsidRPr="009648FE" w:rsidRDefault="009648FE" w:rsidP="00FB6FE0">
      <w:pPr>
        <w:spacing w:line="360" w:lineRule="auto"/>
        <w:jc w:val="both"/>
        <w:rPr>
          <w:rFonts w:ascii="ITC Galliard Std" w:hAnsi="ITC Galliard Std"/>
          <w:sz w:val="22"/>
          <w:szCs w:val="22"/>
        </w:rPr>
      </w:pPr>
      <w:r w:rsidRPr="009648FE">
        <w:rPr>
          <w:rFonts w:ascii="ITC Galliard Std" w:hAnsi="ITC Galliard Std"/>
          <w:sz w:val="22"/>
          <w:szCs w:val="22"/>
        </w:rPr>
        <w:t>Un quart</w:t>
      </w:r>
      <w:r w:rsidR="00FB6FE0" w:rsidRPr="009648FE">
        <w:rPr>
          <w:rFonts w:ascii="ITC Galliard Std" w:hAnsi="ITC Galliard Std"/>
          <w:sz w:val="22"/>
          <w:szCs w:val="22"/>
        </w:rPr>
        <w:t xml:space="preserve"> des dossiers, présentant un projet hors sujet, c’est-à-dire ne portant pas sur l’histoire de l’art à Madagascar, </w:t>
      </w:r>
      <w:r>
        <w:rPr>
          <w:rFonts w:ascii="ITC Galliard Std" w:hAnsi="ITC Galliard Std"/>
          <w:sz w:val="22"/>
          <w:szCs w:val="22"/>
        </w:rPr>
        <w:t xml:space="preserve">et certains étant portés par des chercheurs n’ayant aucune formation en histoire ou en histoire de l’art, </w:t>
      </w:r>
      <w:r w:rsidRPr="009648FE">
        <w:rPr>
          <w:rFonts w:ascii="ITC Galliard Std" w:hAnsi="ITC Galliard Std"/>
          <w:sz w:val="22"/>
          <w:szCs w:val="22"/>
        </w:rPr>
        <w:t>ont</w:t>
      </w:r>
      <w:r w:rsidR="00FB6FE0" w:rsidRPr="009648FE">
        <w:rPr>
          <w:rFonts w:ascii="ITC Galliard Std" w:hAnsi="ITC Galliard Std"/>
          <w:sz w:val="22"/>
          <w:szCs w:val="22"/>
        </w:rPr>
        <w:t xml:space="preserve"> été rapidement écarté</w:t>
      </w:r>
      <w:r w:rsidRPr="009648FE">
        <w:rPr>
          <w:rFonts w:ascii="ITC Galliard Std" w:hAnsi="ITC Galliard Std"/>
          <w:sz w:val="22"/>
          <w:szCs w:val="22"/>
        </w:rPr>
        <w:t>s</w:t>
      </w:r>
      <w:r w:rsidR="00FB6FE0" w:rsidRPr="009648FE">
        <w:rPr>
          <w:rFonts w:ascii="ITC Galliard Std" w:hAnsi="ITC Galliard Std"/>
          <w:sz w:val="22"/>
          <w:szCs w:val="22"/>
        </w:rPr>
        <w:t>. Plusieurs dossiers présentaient des projets sur des sujets</w:t>
      </w:r>
      <w:r w:rsidRPr="009648FE">
        <w:rPr>
          <w:rFonts w:ascii="ITC Galliard Std" w:hAnsi="ITC Galliard Std"/>
          <w:sz w:val="22"/>
          <w:szCs w:val="22"/>
        </w:rPr>
        <w:t xml:space="preserve"> a priori</w:t>
      </w:r>
      <w:r w:rsidR="00FB6FE0" w:rsidRPr="009648FE">
        <w:rPr>
          <w:rFonts w:ascii="ITC Galliard Std" w:hAnsi="ITC Galliard Std"/>
          <w:sz w:val="22"/>
          <w:szCs w:val="22"/>
        </w:rPr>
        <w:t xml:space="preserve"> pertinents et intéressants mais </w:t>
      </w:r>
      <w:r w:rsidRPr="009648FE">
        <w:rPr>
          <w:rFonts w:ascii="ITC Galliard Std" w:hAnsi="ITC Galliard Std"/>
          <w:sz w:val="22"/>
          <w:szCs w:val="22"/>
        </w:rPr>
        <w:t xml:space="preserve">avec des lacunes rédhibitoires (corpus pas ou mal défini, bibliographie non maîtrisée), ou proposant </w:t>
      </w:r>
      <w:r w:rsidR="00FB6FE0" w:rsidRPr="009648FE">
        <w:rPr>
          <w:rFonts w:ascii="ITC Galliard Std" w:hAnsi="ITC Galliard Std"/>
          <w:sz w:val="22"/>
          <w:szCs w:val="22"/>
        </w:rPr>
        <w:t xml:space="preserve">des calendriers qui ne semblaient pas réalistes, ou </w:t>
      </w:r>
      <w:r w:rsidRPr="009648FE">
        <w:rPr>
          <w:rFonts w:ascii="ITC Galliard Std" w:hAnsi="ITC Galliard Std"/>
          <w:sz w:val="22"/>
          <w:szCs w:val="22"/>
        </w:rPr>
        <w:t>bien témoignant d’une inadéquation entre le cadrage du sujet et le temps imparti pour le traiter</w:t>
      </w:r>
      <w:r w:rsidR="00FB6FE0" w:rsidRPr="009648FE">
        <w:rPr>
          <w:rFonts w:ascii="ITC Galliard Std" w:hAnsi="ITC Galliard Std"/>
          <w:sz w:val="22"/>
          <w:szCs w:val="22"/>
        </w:rPr>
        <w:t xml:space="preserve">. Le jury invite les candidats à </w:t>
      </w:r>
      <w:r w:rsidRPr="009648FE">
        <w:rPr>
          <w:rFonts w:ascii="ITC Galliard Std" w:hAnsi="ITC Galliard Std"/>
          <w:sz w:val="22"/>
          <w:szCs w:val="22"/>
        </w:rPr>
        <w:t>étayer leur dossier et à le calibrer en</w:t>
      </w:r>
      <w:r w:rsidR="00FB6FE0" w:rsidRPr="009648FE">
        <w:rPr>
          <w:rFonts w:ascii="ITC Galliard Std" w:hAnsi="ITC Galliard Std"/>
          <w:sz w:val="22"/>
          <w:szCs w:val="22"/>
        </w:rPr>
        <w:t xml:space="preserve"> fonction de la durée de la bourse (1 an), même si leur projet de recherche peut s’inscrire dans une durée plus longue, par exemple dans le cadre d’un master ou d’une thèse.</w:t>
      </w:r>
    </w:p>
    <w:p w14:paraId="5632BCDA" w14:textId="77777777" w:rsidR="00FB6FE0" w:rsidRPr="00C72632" w:rsidRDefault="00FB6FE0" w:rsidP="00FB6FE0">
      <w:pPr>
        <w:spacing w:line="360" w:lineRule="auto"/>
        <w:rPr>
          <w:rFonts w:ascii="ITC Galliard Std" w:hAnsi="ITC Galliard Std"/>
          <w:sz w:val="22"/>
          <w:szCs w:val="22"/>
        </w:rPr>
      </w:pPr>
    </w:p>
    <w:p w14:paraId="7383CEEF" w14:textId="74DEB7B0" w:rsidR="00FB6FE0" w:rsidRDefault="00FB6FE0" w:rsidP="00FB6FE0">
      <w:pPr>
        <w:spacing w:line="360" w:lineRule="auto"/>
        <w:jc w:val="both"/>
        <w:rPr>
          <w:rFonts w:ascii="ITC Galliard Std" w:hAnsi="ITC Galliard Std"/>
          <w:sz w:val="22"/>
          <w:szCs w:val="22"/>
        </w:rPr>
      </w:pPr>
      <w:r w:rsidRPr="00C72632">
        <w:rPr>
          <w:rFonts w:ascii="ITC Galliard Std" w:hAnsi="ITC Galliard Std"/>
          <w:sz w:val="22"/>
          <w:szCs w:val="22"/>
        </w:rPr>
        <w:t xml:space="preserve">La discussion </w:t>
      </w:r>
      <w:r w:rsidR="00C72632">
        <w:rPr>
          <w:rFonts w:ascii="ITC Galliard Std" w:hAnsi="ITC Galliard Std"/>
          <w:sz w:val="22"/>
          <w:szCs w:val="22"/>
        </w:rPr>
        <w:t>a</w:t>
      </w:r>
      <w:r w:rsidRPr="00C72632">
        <w:rPr>
          <w:rFonts w:ascii="ITC Galliard Std" w:hAnsi="ITC Galliard Std"/>
          <w:sz w:val="22"/>
          <w:szCs w:val="22"/>
        </w:rPr>
        <w:t xml:space="preserve"> rapidement </w:t>
      </w:r>
      <w:r w:rsidR="00C72632">
        <w:rPr>
          <w:rFonts w:ascii="ITC Galliard Std" w:hAnsi="ITC Galliard Std"/>
          <w:sz w:val="22"/>
          <w:szCs w:val="22"/>
        </w:rPr>
        <w:t>permis de distinguer</w:t>
      </w:r>
      <w:r w:rsidRPr="00C72632">
        <w:rPr>
          <w:rFonts w:ascii="ITC Galliard Std" w:hAnsi="ITC Galliard Std"/>
          <w:sz w:val="22"/>
          <w:szCs w:val="22"/>
        </w:rPr>
        <w:t xml:space="preserve"> deux dossiers qui ont retenu toute l’attention des membres du jury en raison de leur qualité</w:t>
      </w:r>
      <w:r w:rsidR="00C72632" w:rsidRPr="00C72632">
        <w:rPr>
          <w:rFonts w:ascii="ITC Galliard Std" w:hAnsi="ITC Galliard Std"/>
          <w:sz w:val="22"/>
          <w:szCs w:val="22"/>
        </w:rPr>
        <w:t xml:space="preserve"> et de leur originalité</w:t>
      </w:r>
      <w:r w:rsidR="009648FE" w:rsidRPr="00C72632">
        <w:rPr>
          <w:rFonts w:ascii="ITC Galliard Std" w:hAnsi="ITC Galliard Std"/>
          <w:sz w:val="22"/>
          <w:szCs w:val="22"/>
        </w:rPr>
        <w:t>, l’un d’un chercheur confirmé, l’autre d’un très jeune chercheur</w:t>
      </w:r>
      <w:r w:rsidRPr="00C72632">
        <w:rPr>
          <w:rFonts w:ascii="ITC Galliard Std" w:hAnsi="ITC Galliard Std"/>
          <w:sz w:val="22"/>
          <w:szCs w:val="22"/>
        </w:rPr>
        <w:t xml:space="preserve">. Le jury a </w:t>
      </w:r>
      <w:r w:rsidR="009648FE" w:rsidRPr="00C72632">
        <w:rPr>
          <w:rFonts w:ascii="ITC Galliard Std" w:hAnsi="ITC Galliard Std"/>
          <w:sz w:val="22"/>
          <w:szCs w:val="22"/>
        </w:rPr>
        <w:t xml:space="preserve">décidé de les classer </w:t>
      </w:r>
      <w:r w:rsidR="009648FE" w:rsidRPr="00C72632">
        <w:rPr>
          <w:rFonts w:ascii="ITC Galliard Std" w:hAnsi="ITC Galliard Std"/>
          <w:i/>
          <w:iCs/>
          <w:sz w:val="22"/>
          <w:szCs w:val="22"/>
        </w:rPr>
        <w:t>ex</w:t>
      </w:r>
      <w:r w:rsidR="00C72632" w:rsidRPr="00C72632">
        <w:rPr>
          <w:rFonts w:ascii="ITC Galliard Std" w:hAnsi="ITC Galliard Std"/>
          <w:i/>
          <w:iCs/>
          <w:sz w:val="22"/>
          <w:szCs w:val="22"/>
        </w:rPr>
        <w:t xml:space="preserve"> </w:t>
      </w:r>
      <w:r w:rsidR="009648FE" w:rsidRPr="00C72632">
        <w:rPr>
          <w:rFonts w:ascii="ITC Galliard Std" w:hAnsi="ITC Galliard Std"/>
          <w:i/>
          <w:iCs/>
          <w:sz w:val="22"/>
          <w:szCs w:val="22"/>
        </w:rPr>
        <w:t>aequo</w:t>
      </w:r>
      <w:r w:rsidRPr="00C72632">
        <w:rPr>
          <w:rFonts w:ascii="ITC Galliard Std" w:hAnsi="ITC Galliard Std"/>
          <w:sz w:val="22"/>
          <w:szCs w:val="22"/>
        </w:rPr>
        <w:t>.</w:t>
      </w:r>
    </w:p>
    <w:p w14:paraId="22A69B91" w14:textId="77777777" w:rsidR="00FB6FE0" w:rsidRDefault="00FB6FE0" w:rsidP="00FB6FE0">
      <w:pPr>
        <w:spacing w:line="360" w:lineRule="auto"/>
        <w:rPr>
          <w:rFonts w:ascii="ITC Galliard Std" w:hAnsi="ITC Galliard Std"/>
          <w:sz w:val="22"/>
          <w:szCs w:val="22"/>
        </w:rPr>
      </w:pPr>
    </w:p>
    <w:p w14:paraId="6CAABD26" w14:textId="579A4052" w:rsidR="00FB6FE0" w:rsidRDefault="00FB6FE0" w:rsidP="00FB6FE0">
      <w:pPr>
        <w:spacing w:line="360" w:lineRule="auto"/>
        <w:rPr>
          <w:rFonts w:ascii="ITC Galliard Std" w:hAnsi="ITC Galliard Std"/>
          <w:sz w:val="22"/>
          <w:szCs w:val="22"/>
        </w:rPr>
      </w:pPr>
    </w:p>
    <w:p w14:paraId="53A26B0C" w14:textId="77777777" w:rsidR="00753728" w:rsidRPr="00061CFC" w:rsidRDefault="00753728" w:rsidP="00FB6FE0">
      <w:pPr>
        <w:spacing w:line="360" w:lineRule="auto"/>
        <w:rPr>
          <w:rFonts w:ascii="ITC Galliard Std" w:hAnsi="ITC Galliard Std"/>
          <w:sz w:val="22"/>
          <w:szCs w:val="22"/>
        </w:rPr>
      </w:pPr>
    </w:p>
    <w:p w14:paraId="6D2752D6" w14:textId="6B38BAD8" w:rsidR="00FB6FE0" w:rsidRDefault="00FB6FE0" w:rsidP="00FB6FE0">
      <w:pPr>
        <w:spacing w:line="360" w:lineRule="auto"/>
        <w:jc w:val="both"/>
        <w:rPr>
          <w:rFonts w:ascii="ITC Galliard Std" w:hAnsi="ITC Galliard Std"/>
          <w:sz w:val="22"/>
          <w:szCs w:val="22"/>
        </w:rPr>
      </w:pPr>
      <w:r>
        <w:rPr>
          <w:rFonts w:ascii="ITC Galliard Std" w:hAnsi="ITC Galliard Std"/>
          <w:sz w:val="22"/>
          <w:szCs w:val="22"/>
        </w:rPr>
        <w:t xml:space="preserve">La bourse </w:t>
      </w:r>
      <w:proofErr w:type="spellStart"/>
      <w:r>
        <w:rPr>
          <w:rFonts w:ascii="ITC Galliard Std" w:hAnsi="ITC Galliard Std"/>
          <w:sz w:val="22"/>
          <w:szCs w:val="22"/>
        </w:rPr>
        <w:t>Yavarhoussen</w:t>
      </w:r>
      <w:proofErr w:type="spellEnd"/>
      <w:r>
        <w:rPr>
          <w:rFonts w:ascii="ITC Galliard Std" w:hAnsi="ITC Galliard Std"/>
          <w:sz w:val="22"/>
          <w:szCs w:val="22"/>
        </w:rPr>
        <w:t xml:space="preserve"> a ainsi été attribuée</w:t>
      </w:r>
      <w:r w:rsidR="00D70640">
        <w:rPr>
          <w:rFonts w:ascii="ITC Galliard Std" w:hAnsi="ITC Galliard Std"/>
          <w:sz w:val="22"/>
          <w:szCs w:val="22"/>
        </w:rPr>
        <w:t xml:space="preserve">, </w:t>
      </w:r>
      <w:r w:rsidR="00D70640" w:rsidRPr="00C72632">
        <w:rPr>
          <w:rFonts w:ascii="ITC Galliard Std" w:hAnsi="ITC Galliard Std"/>
          <w:i/>
          <w:iCs/>
          <w:sz w:val="22"/>
          <w:szCs w:val="22"/>
        </w:rPr>
        <w:t>ex aequo</w:t>
      </w:r>
      <w:r w:rsidR="00D70640">
        <w:rPr>
          <w:rFonts w:ascii="ITC Galliard Std" w:hAnsi="ITC Galliard Std"/>
          <w:sz w:val="22"/>
          <w:szCs w:val="22"/>
        </w:rPr>
        <w:t>,</w:t>
      </w:r>
      <w:r>
        <w:rPr>
          <w:rFonts w:ascii="ITC Galliard Std" w:hAnsi="ITC Galliard Std"/>
          <w:sz w:val="22"/>
          <w:szCs w:val="22"/>
        </w:rPr>
        <w:t xml:space="preserve"> à :</w:t>
      </w:r>
    </w:p>
    <w:p w14:paraId="18A1DBA6" w14:textId="77777777" w:rsidR="00FB6FE0" w:rsidRDefault="00FB6FE0" w:rsidP="00FB6FE0">
      <w:pPr>
        <w:jc w:val="both"/>
        <w:rPr>
          <w:rFonts w:ascii="ITC Galliard Std" w:hAnsi="ITC Galliard Std"/>
          <w:sz w:val="22"/>
          <w:szCs w:val="22"/>
        </w:rPr>
      </w:pPr>
    </w:p>
    <w:p w14:paraId="1474252E" w14:textId="13FC66A4" w:rsidR="00FB6FE0" w:rsidRDefault="00FB6FE0" w:rsidP="00FB6FE0">
      <w:pPr>
        <w:numPr>
          <w:ilvl w:val="0"/>
          <w:numId w:val="2"/>
        </w:numPr>
        <w:spacing w:line="360" w:lineRule="auto"/>
        <w:jc w:val="both"/>
        <w:rPr>
          <w:rFonts w:ascii="ITC Galliard Std" w:hAnsi="ITC Galliard Std"/>
          <w:sz w:val="22"/>
          <w:szCs w:val="22"/>
        </w:rPr>
      </w:pPr>
      <w:r>
        <w:rPr>
          <w:rFonts w:ascii="ITC Galliard Std" w:hAnsi="ITC Galliard Std"/>
          <w:sz w:val="22"/>
          <w:szCs w:val="22"/>
        </w:rPr>
        <w:t>Quentin CLEMENCE</w:t>
      </w:r>
    </w:p>
    <w:p w14:paraId="54FA5B32" w14:textId="72CF59D6" w:rsidR="00FB6FE0" w:rsidRDefault="00FB6FE0" w:rsidP="00FB6FE0">
      <w:pPr>
        <w:numPr>
          <w:ilvl w:val="0"/>
          <w:numId w:val="2"/>
        </w:numPr>
        <w:spacing w:line="360" w:lineRule="auto"/>
        <w:jc w:val="both"/>
        <w:rPr>
          <w:rFonts w:ascii="ITC Galliard Std" w:hAnsi="ITC Galliard Std"/>
          <w:sz w:val="22"/>
          <w:szCs w:val="22"/>
        </w:rPr>
      </w:pPr>
      <w:r>
        <w:rPr>
          <w:rFonts w:ascii="ITC Galliard Std" w:hAnsi="ITC Galliard Std"/>
          <w:sz w:val="22"/>
          <w:szCs w:val="22"/>
        </w:rPr>
        <w:t>Kenny SARAELY</w:t>
      </w:r>
    </w:p>
    <w:p w14:paraId="46C32031" w14:textId="77777777" w:rsidR="00FB6FE0" w:rsidRDefault="00FB6FE0" w:rsidP="00FB6FE0">
      <w:pPr>
        <w:spacing w:line="360" w:lineRule="auto"/>
        <w:ind w:left="720"/>
        <w:jc w:val="both"/>
        <w:rPr>
          <w:rFonts w:ascii="ITC Galliard Std" w:hAnsi="ITC Galliard Std"/>
          <w:sz w:val="22"/>
          <w:szCs w:val="22"/>
        </w:rPr>
      </w:pPr>
    </w:p>
    <w:p w14:paraId="46B6C068" w14:textId="77777777" w:rsidR="00FB6FE0" w:rsidRDefault="00FB6FE0" w:rsidP="00FB6FE0">
      <w:pPr>
        <w:spacing w:line="360" w:lineRule="auto"/>
        <w:jc w:val="both"/>
        <w:rPr>
          <w:rFonts w:ascii="ITC Galliard Std" w:hAnsi="ITC Galliard Std"/>
          <w:sz w:val="22"/>
          <w:szCs w:val="22"/>
        </w:rPr>
      </w:pPr>
      <w:r>
        <w:rPr>
          <w:rFonts w:ascii="ITC Galliard Std" w:hAnsi="ITC Galliard Std"/>
          <w:sz w:val="22"/>
          <w:szCs w:val="22"/>
        </w:rPr>
        <w:t xml:space="preserve">A été classé sur liste complémentaire : </w:t>
      </w:r>
    </w:p>
    <w:p w14:paraId="6C002FFE" w14:textId="4C0436F4" w:rsidR="00FB6FE0" w:rsidRDefault="00FB6FE0" w:rsidP="00FB6FE0">
      <w:pPr>
        <w:numPr>
          <w:ilvl w:val="0"/>
          <w:numId w:val="2"/>
        </w:numPr>
        <w:spacing w:line="360" w:lineRule="auto"/>
        <w:jc w:val="both"/>
        <w:rPr>
          <w:rFonts w:ascii="ITC Galliard Std" w:hAnsi="ITC Galliard Std"/>
          <w:sz w:val="22"/>
          <w:szCs w:val="22"/>
        </w:rPr>
      </w:pPr>
      <w:r>
        <w:rPr>
          <w:rFonts w:ascii="ITC Galliard Std" w:hAnsi="ITC Galliard Std"/>
          <w:sz w:val="22"/>
          <w:szCs w:val="22"/>
        </w:rPr>
        <w:t xml:space="preserve">    Marie BOUCHARD</w:t>
      </w:r>
    </w:p>
    <w:p w14:paraId="5E3E17C9" w14:textId="5C539145" w:rsidR="00FB6FE0" w:rsidRPr="00AC2E3C" w:rsidRDefault="00FB6FE0" w:rsidP="00FB6FE0">
      <w:pPr>
        <w:spacing w:line="360" w:lineRule="auto"/>
        <w:ind w:left="720"/>
        <w:jc w:val="both"/>
        <w:rPr>
          <w:rFonts w:ascii="ITC Galliard Std" w:hAnsi="ITC Galliard Std"/>
          <w:sz w:val="22"/>
          <w:szCs w:val="22"/>
        </w:rPr>
      </w:pPr>
    </w:p>
    <w:p w14:paraId="0F23653F" w14:textId="571B55C2" w:rsidR="00FB6FE0" w:rsidRDefault="00FB6FE0" w:rsidP="00FB6FE0">
      <w:pPr>
        <w:spacing w:line="360" w:lineRule="auto"/>
        <w:rPr>
          <w:rFonts w:ascii="ITC Galliard Std" w:hAnsi="ITC Galliard Std"/>
          <w:sz w:val="22"/>
          <w:szCs w:val="22"/>
        </w:rPr>
      </w:pPr>
    </w:p>
    <w:p w14:paraId="5BEFD297" w14:textId="3C983E53" w:rsidR="00FB6FE0" w:rsidRPr="00AC2E3C" w:rsidRDefault="00FB6FE0" w:rsidP="00FB6FE0">
      <w:pPr>
        <w:jc w:val="right"/>
        <w:rPr>
          <w:rFonts w:ascii="ITC Galliard Std" w:hAnsi="ITC Galliard Std"/>
          <w:sz w:val="22"/>
          <w:szCs w:val="22"/>
        </w:rPr>
      </w:pPr>
      <w:r>
        <w:rPr>
          <w:rFonts w:ascii="ITC Galliard Std" w:hAnsi="ITC Galliard Std"/>
          <w:sz w:val="22"/>
          <w:szCs w:val="22"/>
        </w:rPr>
        <w:t>Fait à Paris, le</w:t>
      </w:r>
      <w:r w:rsidR="00753728">
        <w:rPr>
          <w:rFonts w:ascii="ITC Galliard Std" w:hAnsi="ITC Galliard Std"/>
          <w:sz w:val="22"/>
          <w:szCs w:val="22"/>
        </w:rPr>
        <w:t xml:space="preserve"> 07 </w:t>
      </w:r>
      <w:r w:rsidRPr="00FB6FE0">
        <w:rPr>
          <w:rFonts w:ascii="ITC Galliard Std" w:hAnsi="ITC Galliard Std"/>
          <w:sz w:val="22"/>
          <w:szCs w:val="22"/>
          <w:highlight w:val="yellow"/>
        </w:rPr>
        <w:t>j</w:t>
      </w:r>
      <w:r>
        <w:rPr>
          <w:rFonts w:ascii="ITC Galliard Std" w:hAnsi="ITC Galliard Std"/>
          <w:sz w:val="22"/>
          <w:szCs w:val="22"/>
        </w:rPr>
        <w:t>uillet 2025</w:t>
      </w:r>
    </w:p>
    <w:p w14:paraId="1A6EC73F" w14:textId="1E7A5680" w:rsidR="00FB6FE0" w:rsidRDefault="00FB6FE0" w:rsidP="00FB6FE0">
      <w:pPr>
        <w:jc w:val="right"/>
        <w:rPr>
          <w:rFonts w:ascii="ITC Galliard Std" w:hAnsi="ITC Galliard Std" w:cs="ITC Galliard Std"/>
          <w:bCs/>
          <w:sz w:val="22"/>
          <w:szCs w:val="22"/>
          <w:lang w:eastAsia="ar-SA"/>
        </w:rPr>
      </w:pPr>
    </w:p>
    <w:p w14:paraId="26DE6DF1" w14:textId="35744B62" w:rsidR="00FB6FE0" w:rsidRDefault="00FB6FE0" w:rsidP="00FB6FE0">
      <w:pPr>
        <w:jc w:val="right"/>
        <w:rPr>
          <w:rFonts w:ascii="ITC Galliard Std" w:hAnsi="ITC Galliard Std" w:cs="ITC Galliard Std"/>
          <w:bCs/>
          <w:sz w:val="22"/>
          <w:szCs w:val="22"/>
          <w:lang w:eastAsia="ar-SA"/>
        </w:rPr>
      </w:pPr>
    </w:p>
    <w:p w14:paraId="3C07B5F5" w14:textId="26A32AE9" w:rsidR="00DB6147" w:rsidRDefault="00DB6147" w:rsidP="00FB6FE0">
      <w:pPr>
        <w:jc w:val="right"/>
        <w:rPr>
          <w:rFonts w:ascii="ITC Galliard Std" w:hAnsi="ITC Galliard Std" w:cs="ITC Galliard Std"/>
          <w:bCs/>
          <w:sz w:val="22"/>
          <w:szCs w:val="22"/>
          <w:lang w:eastAsia="ar-SA"/>
        </w:rPr>
      </w:pPr>
    </w:p>
    <w:p w14:paraId="5E6C520F" w14:textId="45AF240B" w:rsidR="00DB6147" w:rsidRDefault="00DB6147" w:rsidP="00FB6FE0">
      <w:pPr>
        <w:jc w:val="right"/>
        <w:rPr>
          <w:rFonts w:ascii="ITC Galliard Std" w:hAnsi="ITC Galliard Std" w:cs="ITC Galliard Std"/>
          <w:bCs/>
          <w:sz w:val="22"/>
          <w:szCs w:val="22"/>
          <w:lang w:eastAsia="ar-SA"/>
        </w:rPr>
      </w:pPr>
      <w:r>
        <w:rPr>
          <w:rFonts w:ascii="ITC Galliard Std" w:hAnsi="ITC Galliard Std" w:cs="ITC Galliard Std"/>
          <w:bCs/>
          <w:noProof/>
          <w:sz w:val="22"/>
          <w:szCs w:val="22"/>
          <w:lang w:eastAsia="ar-SA"/>
        </w:rPr>
        <w:drawing>
          <wp:anchor distT="0" distB="0" distL="114300" distR="114300" simplePos="0" relativeHeight="251658240" behindDoc="1" locked="0" layoutInCell="1" allowOverlap="1" wp14:anchorId="43496B39" wp14:editId="545A3416">
            <wp:simplePos x="0" y="0"/>
            <wp:positionH relativeFrom="column">
              <wp:posOffset>4676140</wp:posOffset>
            </wp:positionH>
            <wp:positionV relativeFrom="paragraph">
              <wp:posOffset>15875</wp:posOffset>
            </wp:positionV>
            <wp:extent cx="1151890" cy="859790"/>
            <wp:effectExtent l="0" t="0" r="0" b="0"/>
            <wp:wrapTight wrapText="bothSides">
              <wp:wrapPolygon edited="0">
                <wp:start x="13574" y="4307"/>
                <wp:lineTo x="6073" y="6700"/>
                <wp:lineTo x="3929" y="8614"/>
                <wp:lineTo x="2858" y="15793"/>
                <wp:lineTo x="3572" y="20100"/>
                <wp:lineTo x="8216" y="20100"/>
                <wp:lineTo x="16075" y="17229"/>
                <wp:lineTo x="18576" y="13879"/>
                <wp:lineTo x="16432" y="12922"/>
                <wp:lineTo x="16432" y="4307"/>
                <wp:lineTo x="13574" y="4307"/>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126A6" w14:textId="21C4A405" w:rsidR="00DB6147" w:rsidRDefault="00DB6147" w:rsidP="00FB6FE0">
      <w:pPr>
        <w:jc w:val="right"/>
        <w:rPr>
          <w:rFonts w:ascii="ITC Galliard Std" w:hAnsi="ITC Galliard Std" w:cs="ITC Galliard Std"/>
          <w:bCs/>
          <w:sz w:val="22"/>
          <w:szCs w:val="22"/>
          <w:lang w:eastAsia="ar-SA"/>
        </w:rPr>
      </w:pPr>
    </w:p>
    <w:p w14:paraId="0FD51515" w14:textId="7C96821E" w:rsidR="00DB6147" w:rsidRDefault="00DB6147" w:rsidP="00FB6FE0">
      <w:pPr>
        <w:jc w:val="right"/>
        <w:rPr>
          <w:rFonts w:ascii="ITC Galliard Std" w:hAnsi="ITC Galliard Std" w:cs="ITC Galliard Std"/>
          <w:bCs/>
          <w:sz w:val="22"/>
          <w:szCs w:val="22"/>
          <w:lang w:eastAsia="ar-SA"/>
        </w:rPr>
      </w:pPr>
    </w:p>
    <w:p w14:paraId="350AC1A5" w14:textId="78B39D72" w:rsidR="00DB6147" w:rsidRDefault="00DB6147" w:rsidP="00FB6FE0">
      <w:pPr>
        <w:jc w:val="right"/>
        <w:rPr>
          <w:rFonts w:ascii="ITC Galliard Std" w:hAnsi="ITC Galliard Std" w:cs="ITC Galliard Std"/>
          <w:bCs/>
          <w:sz w:val="22"/>
          <w:szCs w:val="22"/>
          <w:lang w:eastAsia="ar-SA"/>
        </w:rPr>
      </w:pPr>
    </w:p>
    <w:p w14:paraId="1DAC1BB2" w14:textId="550BDEA7" w:rsidR="00DB6147" w:rsidRDefault="00DB6147" w:rsidP="00FB6FE0">
      <w:pPr>
        <w:jc w:val="right"/>
        <w:rPr>
          <w:rFonts w:ascii="ITC Galliard Std" w:hAnsi="ITC Galliard Std" w:cs="ITC Galliard Std"/>
          <w:bCs/>
          <w:sz w:val="22"/>
          <w:szCs w:val="22"/>
          <w:lang w:eastAsia="ar-SA"/>
        </w:rPr>
      </w:pPr>
    </w:p>
    <w:p w14:paraId="3E2C76EA" w14:textId="33D9AD5E" w:rsidR="00FB6FE0" w:rsidRDefault="00FB6FE0" w:rsidP="00FB6FE0">
      <w:pPr>
        <w:jc w:val="right"/>
        <w:rPr>
          <w:rFonts w:ascii="ITC Galliard Std" w:hAnsi="ITC Galliard Std" w:cs="ITC Galliard Std"/>
          <w:bCs/>
          <w:sz w:val="22"/>
          <w:szCs w:val="22"/>
          <w:lang w:eastAsia="ar-SA"/>
        </w:rPr>
      </w:pPr>
    </w:p>
    <w:p w14:paraId="4ADAC9F8" w14:textId="1AA636C4" w:rsidR="00FB6FE0" w:rsidRDefault="008C06A0" w:rsidP="00FB6FE0">
      <w:pPr>
        <w:jc w:val="right"/>
        <w:rPr>
          <w:rFonts w:ascii="ITC Galliard Std" w:hAnsi="ITC Galliard Std" w:cs="ITC Galliard Std"/>
          <w:bCs/>
          <w:sz w:val="22"/>
          <w:szCs w:val="22"/>
          <w:lang w:eastAsia="ar-SA"/>
        </w:rPr>
      </w:pPr>
      <w:r>
        <w:rPr>
          <w:rFonts w:ascii="ITC Galliard Std" w:hAnsi="ITC Galliard Std" w:cs="ITC Galliard Std"/>
          <w:bCs/>
          <w:sz w:val="22"/>
          <w:szCs w:val="22"/>
          <w:lang w:eastAsia="ar-SA"/>
        </w:rPr>
        <w:t>Marion BOUDON-MACHUEL</w:t>
      </w:r>
    </w:p>
    <w:p w14:paraId="3DBA6344" w14:textId="7FB4984D" w:rsidR="008C06A0" w:rsidRDefault="00FB6FE0" w:rsidP="008C06A0">
      <w:pPr>
        <w:jc w:val="right"/>
        <w:rPr>
          <w:rFonts w:ascii="ITC Galliard Std" w:hAnsi="ITC Galliard Std" w:cs="ITC Galliard Std"/>
          <w:bCs/>
          <w:sz w:val="22"/>
          <w:szCs w:val="22"/>
          <w:lang w:eastAsia="ar-SA"/>
        </w:rPr>
      </w:pPr>
      <w:r>
        <w:rPr>
          <w:rFonts w:ascii="ITC Galliard Std" w:hAnsi="ITC Galliard Std" w:cs="ITC Galliard Std"/>
          <w:bCs/>
          <w:sz w:val="22"/>
          <w:szCs w:val="22"/>
          <w:lang w:eastAsia="ar-SA"/>
        </w:rPr>
        <w:t>Directrice</w:t>
      </w:r>
    </w:p>
    <w:p w14:paraId="2EEBA89D" w14:textId="77777777" w:rsidR="00FB6FE0" w:rsidRDefault="00FB6FE0" w:rsidP="00FB6FE0">
      <w:pPr>
        <w:jc w:val="right"/>
        <w:rPr>
          <w:rFonts w:ascii="ITC Galliard Std" w:hAnsi="ITC Galliard Std" w:cs="ITC Galliard Std"/>
          <w:bCs/>
          <w:sz w:val="22"/>
          <w:szCs w:val="22"/>
          <w:lang w:eastAsia="ar-SA"/>
        </w:rPr>
      </w:pPr>
      <w:r>
        <w:rPr>
          <w:rFonts w:ascii="ITC Galliard Std" w:hAnsi="ITC Galliard Std" w:cs="ITC Galliard Std"/>
          <w:bCs/>
          <w:sz w:val="22"/>
          <w:szCs w:val="22"/>
          <w:lang w:eastAsia="ar-SA"/>
        </w:rPr>
        <w:t>Département des études et de la recherche</w:t>
      </w:r>
    </w:p>
    <w:p w14:paraId="21B062E2" w14:textId="2565E285" w:rsidR="00FB6FE0" w:rsidRDefault="00FB6FE0" w:rsidP="00FB6FE0">
      <w:pPr>
        <w:spacing w:line="360" w:lineRule="auto"/>
        <w:ind w:left="720"/>
        <w:rPr>
          <w:rFonts w:ascii="ITC Galliard Std" w:hAnsi="ITC Galliard Std"/>
          <w:sz w:val="22"/>
          <w:szCs w:val="22"/>
        </w:rPr>
      </w:pPr>
    </w:p>
    <w:p w14:paraId="06CE3566" w14:textId="118A938D" w:rsidR="00FB6FE0" w:rsidRDefault="00FB6FE0" w:rsidP="00FB6FE0">
      <w:pPr>
        <w:spacing w:line="360" w:lineRule="auto"/>
        <w:ind w:left="720"/>
        <w:rPr>
          <w:rFonts w:ascii="ITC Galliard Std" w:hAnsi="ITC Galliard Std"/>
          <w:sz w:val="22"/>
          <w:szCs w:val="22"/>
        </w:rPr>
      </w:pPr>
    </w:p>
    <w:p w14:paraId="2FE32D7F" w14:textId="3E4C46DE" w:rsidR="00FB6FE0" w:rsidRDefault="00FB6FE0" w:rsidP="00FB6FE0">
      <w:pPr>
        <w:spacing w:line="360" w:lineRule="auto"/>
        <w:ind w:left="720"/>
        <w:rPr>
          <w:rFonts w:ascii="ITC Galliard Std" w:hAnsi="ITC Galliard Std"/>
          <w:sz w:val="22"/>
          <w:szCs w:val="22"/>
        </w:rPr>
      </w:pPr>
    </w:p>
    <w:p w14:paraId="395537C1" w14:textId="79EB538F" w:rsidR="00FB6FE0" w:rsidRDefault="00FB6FE0" w:rsidP="00FB6FE0">
      <w:pPr>
        <w:spacing w:line="360" w:lineRule="auto"/>
        <w:ind w:left="720"/>
        <w:rPr>
          <w:rFonts w:ascii="ITC Galliard Std" w:hAnsi="ITC Galliard Std"/>
          <w:sz w:val="22"/>
          <w:szCs w:val="22"/>
        </w:rPr>
      </w:pPr>
    </w:p>
    <w:p w14:paraId="68DFDDEE" w14:textId="0D3BD010" w:rsidR="00FB6FE0" w:rsidRDefault="00FB6FE0" w:rsidP="00FB6FE0">
      <w:pPr>
        <w:tabs>
          <w:tab w:val="left" w:pos="3615"/>
        </w:tabs>
        <w:ind w:right="-648"/>
        <w:rPr>
          <w:rFonts w:ascii="ITC Galliard Std" w:hAnsi="ITC Galliard Std"/>
          <w:sz w:val="22"/>
          <w:szCs w:val="22"/>
        </w:rPr>
      </w:pPr>
    </w:p>
    <w:p w14:paraId="1A4F2E93" w14:textId="15785DB2" w:rsidR="008F2B92" w:rsidRDefault="008F2B92"/>
    <w:sectPr w:rsidR="008F2B92" w:rsidSect="00FB6FE0">
      <w:headerReference w:type="default" r:id="rId8"/>
      <w:footerReference w:type="even"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2AB3" w14:textId="77777777" w:rsidR="00521B1E" w:rsidRDefault="00521B1E">
      <w:r>
        <w:separator/>
      </w:r>
    </w:p>
  </w:endnote>
  <w:endnote w:type="continuationSeparator" w:id="0">
    <w:p w14:paraId="3AC8B6DA" w14:textId="77777777" w:rsidR="00521B1E" w:rsidRDefault="0052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Galliard Std">
    <w:altName w:val="Cambria"/>
    <w:panose1 w:val="0202060206050B020A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F217" w14:textId="77777777" w:rsidR="00001C0D" w:rsidRDefault="00FB6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0CA00C17" w14:textId="77777777" w:rsidR="00001C0D" w:rsidRDefault="00521B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8D94" w14:textId="77777777" w:rsidR="00001C0D" w:rsidRDefault="00FB6FE0">
    <w:pPr>
      <w:pStyle w:val="Pieddepage"/>
      <w:ind w:right="360"/>
      <w:jc w:val="both"/>
      <w:rPr>
        <w:color w:val="FF0000"/>
        <w:sz w:val="16"/>
        <w:szCs w:val="16"/>
      </w:rPr>
    </w:pPr>
    <w:r>
      <w:rPr>
        <w:color w:val="FF0000"/>
        <w:sz w:val="16"/>
        <w:szCs w:val="16"/>
      </w:rPr>
      <w:t xml:space="preserve">                                                                           INHA</w:t>
    </w:r>
  </w:p>
  <w:p w14:paraId="055348B3" w14:textId="77777777" w:rsidR="00001C0D" w:rsidRDefault="00FB6FE0">
    <w:pPr>
      <w:pStyle w:val="Pieddepage"/>
      <w:rPr>
        <w:color w:val="FF0000"/>
        <w:sz w:val="16"/>
        <w:szCs w:val="16"/>
      </w:rPr>
    </w:pPr>
    <w:r>
      <w:rPr>
        <w:color w:val="FF0000"/>
        <w:sz w:val="16"/>
        <w:szCs w:val="16"/>
      </w:rPr>
      <w:t xml:space="preserve">2 rue Vivienne                                    </w:t>
    </w:r>
    <w:r>
      <w:rPr>
        <w:color w:val="FF0000"/>
        <w:sz w:val="16"/>
        <w:szCs w:val="16"/>
      </w:rPr>
      <w:tab/>
      <w:t xml:space="preserve">             Tel : 01.47.03.85.81                                                                          </w:t>
    </w:r>
    <w:hyperlink r:id="rId1" w:history="1">
      <w:r>
        <w:rPr>
          <w:rStyle w:val="Lienhypertexte"/>
          <w:color w:val="FF0000"/>
          <w:sz w:val="16"/>
          <w:szCs w:val="16"/>
        </w:rPr>
        <w:t>www.inha.fr</w:t>
      </w:r>
    </w:hyperlink>
  </w:p>
  <w:p w14:paraId="6718BE03" w14:textId="77777777" w:rsidR="00001C0D" w:rsidRDefault="00FB6FE0">
    <w:pPr>
      <w:pStyle w:val="Pieddepage"/>
      <w:rPr>
        <w:color w:val="FF0000"/>
        <w:sz w:val="16"/>
        <w:szCs w:val="16"/>
      </w:rPr>
    </w:pPr>
    <w:r>
      <w:rPr>
        <w:color w:val="FF0000"/>
        <w:sz w:val="16"/>
        <w:szCs w:val="16"/>
      </w:rPr>
      <w:t>75002 PARIS                                                   Fax : 01.47.03.86.36                                                                         der-dir@inha.fr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E22A" w14:textId="77777777" w:rsidR="00521B1E" w:rsidRDefault="00521B1E">
      <w:r>
        <w:separator/>
      </w:r>
    </w:p>
  </w:footnote>
  <w:footnote w:type="continuationSeparator" w:id="0">
    <w:p w14:paraId="15B77DFD" w14:textId="77777777" w:rsidR="00521B1E" w:rsidRDefault="00521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A405" w14:textId="02F20FAC" w:rsidR="00001C0D" w:rsidRDefault="00FB6FE0">
    <w:pPr>
      <w:pStyle w:val="En-tte"/>
      <w:jc w:val="right"/>
    </w:pPr>
    <w:r w:rsidRPr="00BA5B05">
      <w:rPr>
        <w:noProof/>
      </w:rPr>
      <w:drawing>
        <wp:inline distT="0" distB="0" distL="0" distR="0" wp14:anchorId="6F51E978" wp14:editId="19844905">
          <wp:extent cx="3048000" cy="342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F04"/>
    <w:multiLevelType w:val="hybridMultilevel"/>
    <w:tmpl w:val="B3F8C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BC3AFF"/>
    <w:multiLevelType w:val="hybridMultilevel"/>
    <w:tmpl w:val="2BBAEF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C2"/>
    <w:rsid w:val="00013B60"/>
    <w:rsid w:val="001F5412"/>
    <w:rsid w:val="00521B1E"/>
    <w:rsid w:val="005B5594"/>
    <w:rsid w:val="00753728"/>
    <w:rsid w:val="008C06A0"/>
    <w:rsid w:val="008F2B92"/>
    <w:rsid w:val="009648FE"/>
    <w:rsid w:val="00B90FC2"/>
    <w:rsid w:val="00C72632"/>
    <w:rsid w:val="00D70640"/>
    <w:rsid w:val="00DB6147"/>
    <w:rsid w:val="00EE3798"/>
    <w:rsid w:val="00FB6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4CE5"/>
  <w15:chartTrackingRefBased/>
  <w15:docId w15:val="{3281BBB1-5645-4AC6-A878-4B413308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E0"/>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FB6FE0"/>
    <w:pPr>
      <w:keepNext/>
      <w:jc w:val="center"/>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6FE0"/>
    <w:rPr>
      <w:rFonts w:ascii="Times New Roman" w:eastAsia="Times New Roman" w:hAnsi="Times New Roman" w:cs="Times New Roman"/>
      <w:b/>
      <w:bCs/>
      <w:sz w:val="28"/>
      <w:szCs w:val="28"/>
      <w:lang w:eastAsia="fr-FR"/>
    </w:rPr>
  </w:style>
  <w:style w:type="paragraph" w:styleId="En-tte">
    <w:name w:val="header"/>
    <w:basedOn w:val="Normal"/>
    <w:link w:val="En-tteCar"/>
    <w:rsid w:val="00FB6FE0"/>
    <w:pPr>
      <w:tabs>
        <w:tab w:val="center" w:pos="4536"/>
        <w:tab w:val="right" w:pos="9072"/>
      </w:tabs>
    </w:pPr>
  </w:style>
  <w:style w:type="character" w:customStyle="1" w:styleId="En-tteCar">
    <w:name w:val="En-tête Car"/>
    <w:basedOn w:val="Policepardfaut"/>
    <w:link w:val="En-tte"/>
    <w:rsid w:val="00FB6FE0"/>
    <w:rPr>
      <w:rFonts w:ascii="Times New Roman" w:eastAsia="Times New Roman" w:hAnsi="Times New Roman" w:cs="Times New Roman"/>
      <w:sz w:val="20"/>
      <w:szCs w:val="20"/>
      <w:lang w:eastAsia="fr-FR"/>
    </w:rPr>
  </w:style>
  <w:style w:type="paragraph" w:styleId="Pieddepage">
    <w:name w:val="footer"/>
    <w:basedOn w:val="Normal"/>
    <w:link w:val="PieddepageCar"/>
    <w:rsid w:val="00FB6FE0"/>
    <w:pPr>
      <w:tabs>
        <w:tab w:val="center" w:pos="4536"/>
        <w:tab w:val="right" w:pos="9072"/>
      </w:tabs>
    </w:pPr>
  </w:style>
  <w:style w:type="character" w:customStyle="1" w:styleId="PieddepageCar">
    <w:name w:val="Pied de page Car"/>
    <w:basedOn w:val="Policepardfaut"/>
    <w:link w:val="Pieddepage"/>
    <w:rsid w:val="00FB6FE0"/>
    <w:rPr>
      <w:rFonts w:ascii="Times New Roman" w:eastAsia="Times New Roman" w:hAnsi="Times New Roman" w:cs="Times New Roman"/>
      <w:sz w:val="20"/>
      <w:szCs w:val="20"/>
      <w:lang w:eastAsia="fr-FR"/>
    </w:rPr>
  </w:style>
  <w:style w:type="character" w:styleId="Lienhypertexte">
    <w:name w:val="Hyperlink"/>
    <w:rsid w:val="00FB6FE0"/>
    <w:rPr>
      <w:color w:val="0000FF"/>
      <w:u w:val="single"/>
    </w:rPr>
  </w:style>
  <w:style w:type="character" w:styleId="Numrodepage">
    <w:name w:val="page number"/>
    <w:basedOn w:val="Policepardfaut"/>
    <w:rsid w:val="00FB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nh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PHILIPPE</dc:creator>
  <cp:keywords/>
  <dc:description/>
  <cp:lastModifiedBy>Juliette PHILIPPE</cp:lastModifiedBy>
  <cp:revision>3</cp:revision>
  <dcterms:created xsi:type="dcterms:W3CDTF">2025-07-08T17:39:00Z</dcterms:created>
  <dcterms:modified xsi:type="dcterms:W3CDTF">2025-07-09T07:26:00Z</dcterms:modified>
</cp:coreProperties>
</file>